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AD608" w14:textId="77777777" w:rsidR="00E4219A" w:rsidRPr="00873383" w:rsidRDefault="00E4219A" w:rsidP="00873383">
      <w:pPr>
        <w:pStyle w:val="NoSpacing"/>
        <w:jc w:val="center"/>
        <w:rPr>
          <w:b/>
          <w:sz w:val="28"/>
          <w:szCs w:val="28"/>
        </w:rPr>
      </w:pPr>
      <w:r w:rsidRPr="00873383">
        <w:rPr>
          <w:b/>
          <w:sz w:val="28"/>
          <w:szCs w:val="28"/>
        </w:rPr>
        <w:t>Board of Directors Meeting</w:t>
      </w:r>
    </w:p>
    <w:p w14:paraId="2871DAC8" w14:textId="77777777" w:rsidR="00E4219A" w:rsidRPr="00E4219A" w:rsidRDefault="00E4219A" w:rsidP="00873383">
      <w:pPr>
        <w:pStyle w:val="NoSpacing"/>
        <w:jc w:val="center"/>
        <w:rPr>
          <w:sz w:val="28"/>
          <w:szCs w:val="28"/>
        </w:rPr>
      </w:pPr>
      <w:r w:rsidRPr="00E4219A">
        <w:rPr>
          <w:sz w:val="28"/>
          <w:szCs w:val="28"/>
        </w:rPr>
        <w:t>March 6</w:t>
      </w:r>
    </w:p>
    <w:p w14:paraId="32E2F762" w14:textId="77777777" w:rsidR="00E4219A" w:rsidRPr="00E4219A" w:rsidRDefault="00E4219A" w:rsidP="00E4219A">
      <w:pPr>
        <w:pStyle w:val="NoSpacing"/>
        <w:rPr>
          <w:sz w:val="28"/>
          <w:szCs w:val="28"/>
        </w:rPr>
      </w:pPr>
    </w:p>
    <w:p w14:paraId="48394471" w14:textId="77777777" w:rsidR="00E4219A" w:rsidRPr="00873383" w:rsidRDefault="00E4219A" w:rsidP="00E4219A">
      <w:pPr>
        <w:pStyle w:val="NoSpacing"/>
        <w:rPr>
          <w:b/>
          <w:sz w:val="28"/>
          <w:szCs w:val="28"/>
        </w:rPr>
      </w:pPr>
      <w:r w:rsidRPr="00873383">
        <w:rPr>
          <w:b/>
          <w:sz w:val="28"/>
          <w:szCs w:val="28"/>
        </w:rPr>
        <w:t>New Communications Director</w:t>
      </w:r>
    </w:p>
    <w:p w14:paraId="580374B9"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17A1B699"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31E6D9CF"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003EA5F5"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7E714D9D" w14:textId="77777777" w:rsidR="00E4219A" w:rsidRPr="00E4219A" w:rsidRDefault="00E4219A" w:rsidP="00E4219A">
      <w:pPr>
        <w:pStyle w:val="NoSpacing"/>
        <w:rPr>
          <w:sz w:val="28"/>
          <w:szCs w:val="28"/>
        </w:rPr>
      </w:pPr>
    </w:p>
    <w:p w14:paraId="5BBB8748" w14:textId="77777777" w:rsidR="00E4219A" w:rsidRPr="00873383" w:rsidRDefault="00E4219A" w:rsidP="00E4219A">
      <w:pPr>
        <w:pStyle w:val="NoSpacing"/>
        <w:rPr>
          <w:b/>
          <w:sz w:val="28"/>
          <w:szCs w:val="28"/>
        </w:rPr>
      </w:pPr>
      <w:r w:rsidRPr="00873383">
        <w:rPr>
          <w:b/>
          <w:sz w:val="28"/>
          <w:szCs w:val="28"/>
        </w:rPr>
        <w:t>The Month in Review</w:t>
      </w:r>
    </w:p>
    <w:p w14:paraId="4441B823"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2841EE88" w14:textId="77777777" w:rsidR="00E4219A" w:rsidRPr="00E4219A" w:rsidRDefault="00E4219A" w:rsidP="00E4219A">
      <w:pPr>
        <w:pStyle w:val="NoSpacing"/>
        <w:rPr>
          <w:sz w:val="28"/>
          <w:szCs w:val="28"/>
        </w:rPr>
      </w:pPr>
    </w:p>
    <w:p w14:paraId="0468ACC1" w14:textId="77777777" w:rsidR="00FD5BE7" w:rsidRDefault="00E4219A" w:rsidP="00E4219A">
      <w:pPr>
        <w:pStyle w:val="NoSpacing"/>
        <w:rPr>
          <w:b/>
          <w:sz w:val="28"/>
          <w:szCs w:val="28"/>
        </w:rPr>
      </w:pPr>
      <w:r w:rsidRPr="00873383">
        <w:rPr>
          <w:b/>
          <w:sz w:val="28"/>
          <w:szCs w:val="28"/>
        </w:rPr>
        <w:t>Classic Las Vegas Excursion</w:t>
      </w:r>
    </w:p>
    <w:p w14:paraId="3EB81752" w14:textId="77777777"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w:t>
      </w:r>
      <w:bookmarkStart w:id="0" w:name="_GoBack"/>
      <w:bookmarkEnd w:id="0"/>
      <w:r w:rsidRPr="00873383">
        <w:rPr>
          <w:sz w:val="28"/>
          <w:szCs w:val="28"/>
        </w:rPr>
        <w:t>amous Gold Nugget hotel, located on history Fremont Street.</w:t>
      </w:r>
    </w:p>
    <w:p w14:paraId="376368E6" w14:textId="77777777" w:rsidR="00C41A6A" w:rsidRDefault="00C41A6A" w:rsidP="00E4219A">
      <w:pPr>
        <w:pStyle w:val="NoSpacing"/>
        <w:rPr>
          <w:sz w:val="28"/>
          <w:szCs w:val="28"/>
        </w:rPr>
      </w:pPr>
    </w:p>
    <w:p w14:paraId="7BBC1DA9" w14:textId="77777777" w:rsidR="00873383" w:rsidRDefault="00873383" w:rsidP="00E4219A">
      <w:pPr>
        <w:pStyle w:val="NoSpacing"/>
        <w:rPr>
          <w:sz w:val="28"/>
          <w:szCs w:val="28"/>
        </w:rPr>
      </w:pPr>
    </w:p>
    <w:tbl>
      <w:tblPr>
        <w:tblStyle w:val="GridTable4-Accent5"/>
        <w:tblW w:w="5000" w:type="pct"/>
        <w:tblLook w:val="04A0" w:firstRow="1" w:lastRow="0" w:firstColumn="1" w:lastColumn="0" w:noHBand="0" w:noVBand="1"/>
      </w:tblPr>
      <w:tblGrid>
        <w:gridCol w:w="1994"/>
        <w:gridCol w:w="2980"/>
        <w:gridCol w:w="1702"/>
        <w:gridCol w:w="2674"/>
      </w:tblGrid>
      <w:tr w:rsidR="00D21323" w:rsidRPr="00D21323" w14:paraId="2A9441DE" w14:textId="77777777" w:rsidTr="00D213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pct"/>
          </w:tcPr>
          <w:p w14:paraId="3FC618C5" w14:textId="0C2E4866" w:rsidR="00D21323" w:rsidRPr="00D21323" w:rsidRDefault="00D21323" w:rsidP="009D21B3">
            <w:pPr>
              <w:pStyle w:val="NoSpacing"/>
              <w:rPr>
                <w:sz w:val="28"/>
                <w:szCs w:val="28"/>
              </w:rPr>
            </w:pPr>
            <w:r>
              <w:rPr>
                <w:sz w:val="28"/>
                <w:szCs w:val="28"/>
              </w:rPr>
              <w:t>Featured Monthly Deals</w:t>
            </w:r>
          </w:p>
        </w:tc>
        <w:tc>
          <w:tcPr>
            <w:tcW w:w="1593" w:type="pct"/>
          </w:tcPr>
          <w:p w14:paraId="2DB1093F" w14:textId="77777777" w:rsidR="00D21323" w:rsidRPr="00D21323" w:rsidRDefault="00D21323" w:rsidP="009D21B3">
            <w:pPr>
              <w:pStyle w:val="NoSpacing"/>
              <w:cnfStyle w:val="100000000000" w:firstRow="1" w:lastRow="0" w:firstColumn="0" w:lastColumn="0" w:oddVBand="0" w:evenVBand="0" w:oddHBand="0" w:evenHBand="0" w:firstRowFirstColumn="0" w:firstRowLastColumn="0" w:lastRowFirstColumn="0" w:lastRowLastColumn="0"/>
              <w:rPr>
                <w:sz w:val="28"/>
                <w:szCs w:val="28"/>
              </w:rPr>
            </w:pPr>
          </w:p>
        </w:tc>
        <w:tc>
          <w:tcPr>
            <w:tcW w:w="910" w:type="pct"/>
          </w:tcPr>
          <w:p w14:paraId="08C38833" w14:textId="77777777" w:rsidR="00D21323" w:rsidRPr="00D21323" w:rsidRDefault="00D21323" w:rsidP="009D21B3">
            <w:pPr>
              <w:pStyle w:val="NoSpacing"/>
              <w:cnfStyle w:val="100000000000" w:firstRow="1" w:lastRow="0" w:firstColumn="0" w:lastColumn="0" w:oddVBand="0" w:evenVBand="0" w:oddHBand="0" w:evenHBand="0" w:firstRowFirstColumn="0" w:firstRowLastColumn="0" w:lastRowFirstColumn="0" w:lastRowLastColumn="0"/>
              <w:rPr>
                <w:sz w:val="28"/>
                <w:szCs w:val="28"/>
              </w:rPr>
            </w:pPr>
          </w:p>
        </w:tc>
        <w:tc>
          <w:tcPr>
            <w:tcW w:w="1430" w:type="pct"/>
          </w:tcPr>
          <w:p w14:paraId="504CBA4F" w14:textId="77777777" w:rsidR="00D21323" w:rsidRPr="00D21323" w:rsidRDefault="00D21323" w:rsidP="009D21B3">
            <w:pPr>
              <w:pStyle w:val="NoSpacing"/>
              <w:cnfStyle w:val="100000000000" w:firstRow="1" w:lastRow="0" w:firstColumn="0" w:lastColumn="0" w:oddVBand="0" w:evenVBand="0" w:oddHBand="0" w:evenHBand="0" w:firstRowFirstColumn="0" w:firstRowLastColumn="0" w:lastRowFirstColumn="0" w:lastRowLastColumn="0"/>
              <w:rPr>
                <w:sz w:val="28"/>
                <w:szCs w:val="28"/>
              </w:rPr>
            </w:pPr>
          </w:p>
        </w:tc>
      </w:tr>
      <w:tr w:rsidR="00D21323" w:rsidRPr="001C7DDB" w14:paraId="25FBDBED" w14:textId="77777777" w:rsidTr="00D21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pct"/>
          </w:tcPr>
          <w:p w14:paraId="02F58788" w14:textId="77777777" w:rsidR="00D21323" w:rsidRPr="001C7DDB" w:rsidRDefault="00D21323" w:rsidP="00D21323">
            <w:pPr>
              <w:pStyle w:val="NoSpacing"/>
              <w:jc w:val="center"/>
              <w:rPr>
                <w:bCs w:val="0"/>
                <w:color w:val="FFFFFF" w:themeColor="background1"/>
                <w:sz w:val="28"/>
                <w:szCs w:val="28"/>
              </w:rPr>
            </w:pPr>
            <w:r w:rsidRPr="001C7DDB">
              <w:rPr>
                <w:sz w:val="28"/>
                <w:szCs w:val="28"/>
              </w:rPr>
              <w:t>Location</w:t>
            </w:r>
          </w:p>
        </w:tc>
        <w:tc>
          <w:tcPr>
            <w:tcW w:w="1593" w:type="pct"/>
          </w:tcPr>
          <w:p w14:paraId="205D3098" w14:textId="77777777" w:rsidR="00D21323" w:rsidRPr="001C7DDB" w:rsidRDefault="00D21323" w:rsidP="00D21323">
            <w:pPr>
              <w:pStyle w:val="NoSpacing"/>
              <w:jc w:val="center"/>
              <w:cnfStyle w:val="000000100000" w:firstRow="0" w:lastRow="0" w:firstColumn="0" w:lastColumn="0" w:oddVBand="0" w:evenVBand="0" w:oddHBand="1" w:evenHBand="0" w:firstRowFirstColumn="0" w:firstRowLastColumn="0" w:lastRowFirstColumn="0" w:lastRowLastColumn="0"/>
              <w:rPr>
                <w:b/>
                <w:bCs/>
                <w:color w:val="FFFFFF" w:themeColor="background1"/>
                <w:sz w:val="28"/>
                <w:szCs w:val="28"/>
              </w:rPr>
            </w:pPr>
            <w:r w:rsidRPr="001C7DDB">
              <w:rPr>
                <w:b/>
                <w:sz w:val="28"/>
                <w:szCs w:val="28"/>
              </w:rPr>
              <w:t>Excursion Length</w:t>
            </w:r>
          </w:p>
        </w:tc>
        <w:tc>
          <w:tcPr>
            <w:tcW w:w="910" w:type="pct"/>
          </w:tcPr>
          <w:p w14:paraId="4270C3F1" w14:textId="77777777" w:rsidR="00D21323" w:rsidRPr="001C7DDB" w:rsidRDefault="00D21323" w:rsidP="00D21323">
            <w:pPr>
              <w:pStyle w:val="NoSpacing"/>
              <w:jc w:val="center"/>
              <w:cnfStyle w:val="000000100000" w:firstRow="0" w:lastRow="0" w:firstColumn="0" w:lastColumn="0" w:oddVBand="0" w:evenVBand="0" w:oddHBand="1" w:evenHBand="0" w:firstRowFirstColumn="0" w:firstRowLastColumn="0" w:lastRowFirstColumn="0" w:lastRowLastColumn="0"/>
              <w:rPr>
                <w:b/>
                <w:bCs/>
                <w:color w:val="FFFFFF" w:themeColor="background1"/>
                <w:sz w:val="28"/>
                <w:szCs w:val="28"/>
              </w:rPr>
            </w:pPr>
            <w:r w:rsidRPr="001C7DDB">
              <w:rPr>
                <w:b/>
                <w:sz w:val="28"/>
                <w:szCs w:val="28"/>
              </w:rPr>
              <w:t>Standard</w:t>
            </w:r>
          </w:p>
        </w:tc>
        <w:tc>
          <w:tcPr>
            <w:tcW w:w="1430" w:type="pct"/>
          </w:tcPr>
          <w:p w14:paraId="7B19C086" w14:textId="77777777" w:rsidR="00D21323" w:rsidRPr="001C7DDB" w:rsidRDefault="00D21323" w:rsidP="00D21323">
            <w:pPr>
              <w:pStyle w:val="NoSpacing"/>
              <w:jc w:val="center"/>
              <w:cnfStyle w:val="000000100000" w:firstRow="0" w:lastRow="0" w:firstColumn="0" w:lastColumn="0" w:oddVBand="0" w:evenVBand="0" w:oddHBand="1" w:evenHBand="0" w:firstRowFirstColumn="0" w:firstRowLastColumn="0" w:lastRowFirstColumn="0" w:lastRowLastColumn="0"/>
              <w:rPr>
                <w:b/>
                <w:bCs/>
                <w:color w:val="FFFFFF" w:themeColor="background1"/>
                <w:sz w:val="28"/>
                <w:szCs w:val="28"/>
              </w:rPr>
            </w:pPr>
            <w:r w:rsidRPr="001C7DDB">
              <w:rPr>
                <w:b/>
                <w:sz w:val="28"/>
                <w:szCs w:val="28"/>
              </w:rPr>
              <w:t>Loyalty</w:t>
            </w:r>
          </w:p>
        </w:tc>
      </w:tr>
      <w:tr w:rsidR="003C3262" w:rsidRPr="00D21323" w14:paraId="6897EDC4" w14:textId="77777777" w:rsidTr="00D21323">
        <w:tc>
          <w:tcPr>
            <w:cnfStyle w:val="001000000000" w:firstRow="0" w:lastRow="0" w:firstColumn="1" w:lastColumn="0" w:oddVBand="0" w:evenVBand="0" w:oddHBand="0" w:evenHBand="0" w:firstRowFirstColumn="0" w:firstRowLastColumn="0" w:lastRowFirstColumn="0" w:lastRowLastColumn="0"/>
            <w:tcW w:w="1066" w:type="pct"/>
          </w:tcPr>
          <w:p w14:paraId="43DA3552" w14:textId="77777777" w:rsidR="003C3262" w:rsidRPr="00D21323" w:rsidRDefault="003C3262" w:rsidP="009D21B3">
            <w:pPr>
              <w:pStyle w:val="NoSpacing"/>
              <w:rPr>
                <w:sz w:val="28"/>
                <w:szCs w:val="28"/>
              </w:rPr>
            </w:pPr>
            <w:r w:rsidRPr="00D21323">
              <w:rPr>
                <w:sz w:val="28"/>
                <w:szCs w:val="28"/>
              </w:rPr>
              <w:t>Beijing</w:t>
            </w:r>
          </w:p>
        </w:tc>
        <w:tc>
          <w:tcPr>
            <w:tcW w:w="1593" w:type="pct"/>
          </w:tcPr>
          <w:p w14:paraId="253C5FD6"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3-day</w:t>
            </w:r>
          </w:p>
        </w:tc>
        <w:tc>
          <w:tcPr>
            <w:tcW w:w="910" w:type="pct"/>
          </w:tcPr>
          <w:p w14:paraId="18354E71"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$4,000</w:t>
            </w:r>
          </w:p>
        </w:tc>
        <w:tc>
          <w:tcPr>
            <w:tcW w:w="1430" w:type="pct"/>
          </w:tcPr>
          <w:p w14:paraId="500EF348"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$3,500</w:t>
            </w:r>
          </w:p>
        </w:tc>
      </w:tr>
      <w:tr w:rsidR="003C3262" w:rsidRPr="00D21323" w14:paraId="31AD729E" w14:textId="77777777" w:rsidTr="00D21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pct"/>
          </w:tcPr>
          <w:p w14:paraId="27896586" w14:textId="77777777" w:rsidR="003C3262" w:rsidRPr="00D21323" w:rsidRDefault="003C3262" w:rsidP="009D21B3">
            <w:pPr>
              <w:pStyle w:val="NoSpacing"/>
              <w:rPr>
                <w:sz w:val="28"/>
                <w:szCs w:val="28"/>
              </w:rPr>
            </w:pPr>
            <w:r w:rsidRPr="00D21323">
              <w:rPr>
                <w:sz w:val="28"/>
                <w:szCs w:val="28"/>
              </w:rPr>
              <w:t>Beijing</w:t>
            </w:r>
          </w:p>
        </w:tc>
        <w:tc>
          <w:tcPr>
            <w:tcW w:w="1593" w:type="pct"/>
          </w:tcPr>
          <w:p w14:paraId="5D08A00B"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5-day</w:t>
            </w:r>
          </w:p>
        </w:tc>
        <w:tc>
          <w:tcPr>
            <w:tcW w:w="910" w:type="pct"/>
          </w:tcPr>
          <w:p w14:paraId="2EF0A216"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$5,000</w:t>
            </w:r>
          </w:p>
        </w:tc>
        <w:tc>
          <w:tcPr>
            <w:tcW w:w="1430" w:type="pct"/>
          </w:tcPr>
          <w:p w14:paraId="6086E288"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 xml:space="preserve">$4,500  </w:t>
            </w:r>
          </w:p>
        </w:tc>
      </w:tr>
      <w:tr w:rsidR="003C3262" w:rsidRPr="00D21323" w14:paraId="71D697BA" w14:textId="77777777" w:rsidTr="00D21323">
        <w:tc>
          <w:tcPr>
            <w:cnfStyle w:val="001000000000" w:firstRow="0" w:lastRow="0" w:firstColumn="1" w:lastColumn="0" w:oddVBand="0" w:evenVBand="0" w:oddHBand="0" w:evenHBand="0" w:firstRowFirstColumn="0" w:firstRowLastColumn="0" w:lastRowFirstColumn="0" w:lastRowLastColumn="0"/>
            <w:tcW w:w="1066" w:type="pct"/>
          </w:tcPr>
          <w:p w14:paraId="6612F0DC" w14:textId="77777777" w:rsidR="003C3262" w:rsidRPr="00D21323" w:rsidRDefault="003C3262" w:rsidP="009D21B3">
            <w:pPr>
              <w:pStyle w:val="NoSpacing"/>
              <w:rPr>
                <w:sz w:val="28"/>
                <w:szCs w:val="28"/>
              </w:rPr>
            </w:pPr>
            <w:r w:rsidRPr="00D21323">
              <w:rPr>
                <w:sz w:val="28"/>
                <w:szCs w:val="28"/>
              </w:rPr>
              <w:t>Beijing</w:t>
            </w:r>
          </w:p>
        </w:tc>
        <w:tc>
          <w:tcPr>
            <w:tcW w:w="1593" w:type="pct"/>
          </w:tcPr>
          <w:p w14:paraId="7FAF237A"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7-day</w:t>
            </w:r>
          </w:p>
        </w:tc>
        <w:tc>
          <w:tcPr>
            <w:tcW w:w="910" w:type="pct"/>
          </w:tcPr>
          <w:p w14:paraId="7CF0ED50"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$7,000</w:t>
            </w:r>
          </w:p>
        </w:tc>
        <w:tc>
          <w:tcPr>
            <w:tcW w:w="1430" w:type="pct"/>
          </w:tcPr>
          <w:p w14:paraId="41CD08C7"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$6,500</w:t>
            </w:r>
          </w:p>
        </w:tc>
      </w:tr>
      <w:tr w:rsidR="003C3262" w:rsidRPr="00D21323" w14:paraId="40B2FC24" w14:textId="77777777" w:rsidTr="00D21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pct"/>
          </w:tcPr>
          <w:p w14:paraId="5087A7D1" w14:textId="77777777" w:rsidR="003C3262" w:rsidRPr="00D21323" w:rsidRDefault="003C3262" w:rsidP="009D21B3">
            <w:pPr>
              <w:pStyle w:val="NoSpacing"/>
              <w:rPr>
                <w:sz w:val="28"/>
                <w:szCs w:val="28"/>
              </w:rPr>
            </w:pPr>
            <w:r w:rsidRPr="00D21323">
              <w:rPr>
                <w:sz w:val="28"/>
                <w:szCs w:val="28"/>
              </w:rPr>
              <w:t>Las Vegas</w:t>
            </w:r>
          </w:p>
        </w:tc>
        <w:tc>
          <w:tcPr>
            <w:tcW w:w="1593" w:type="pct"/>
          </w:tcPr>
          <w:p w14:paraId="7F3DD078"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3-day</w:t>
            </w:r>
          </w:p>
        </w:tc>
        <w:tc>
          <w:tcPr>
            <w:tcW w:w="910" w:type="pct"/>
          </w:tcPr>
          <w:p w14:paraId="017379BE"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$1,000</w:t>
            </w:r>
          </w:p>
        </w:tc>
        <w:tc>
          <w:tcPr>
            <w:tcW w:w="1430" w:type="pct"/>
          </w:tcPr>
          <w:p w14:paraId="46122219"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$850</w:t>
            </w:r>
          </w:p>
        </w:tc>
      </w:tr>
      <w:tr w:rsidR="003C3262" w:rsidRPr="00D21323" w14:paraId="7517066F" w14:textId="77777777" w:rsidTr="00D21323">
        <w:tc>
          <w:tcPr>
            <w:cnfStyle w:val="001000000000" w:firstRow="0" w:lastRow="0" w:firstColumn="1" w:lastColumn="0" w:oddVBand="0" w:evenVBand="0" w:oddHBand="0" w:evenHBand="0" w:firstRowFirstColumn="0" w:firstRowLastColumn="0" w:lastRowFirstColumn="0" w:lastRowLastColumn="0"/>
            <w:tcW w:w="1066" w:type="pct"/>
          </w:tcPr>
          <w:p w14:paraId="2D7FB4F7" w14:textId="77777777" w:rsidR="003C3262" w:rsidRPr="00D21323" w:rsidRDefault="003C3262" w:rsidP="009D21B3">
            <w:pPr>
              <w:pStyle w:val="NoSpacing"/>
              <w:rPr>
                <w:sz w:val="28"/>
                <w:szCs w:val="28"/>
              </w:rPr>
            </w:pPr>
            <w:r w:rsidRPr="00D21323">
              <w:rPr>
                <w:sz w:val="28"/>
                <w:szCs w:val="28"/>
              </w:rPr>
              <w:t>Las Vegas</w:t>
            </w:r>
          </w:p>
        </w:tc>
        <w:tc>
          <w:tcPr>
            <w:tcW w:w="1593" w:type="pct"/>
          </w:tcPr>
          <w:p w14:paraId="174E30F0"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5-day</w:t>
            </w:r>
          </w:p>
        </w:tc>
        <w:tc>
          <w:tcPr>
            <w:tcW w:w="910" w:type="pct"/>
          </w:tcPr>
          <w:p w14:paraId="2DB82C6C"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$1,700</w:t>
            </w:r>
          </w:p>
        </w:tc>
        <w:tc>
          <w:tcPr>
            <w:tcW w:w="1430" w:type="pct"/>
          </w:tcPr>
          <w:p w14:paraId="0D8CFEC8"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 xml:space="preserve">$1,400 </w:t>
            </w:r>
          </w:p>
        </w:tc>
      </w:tr>
      <w:tr w:rsidR="003C3262" w:rsidRPr="00D21323" w14:paraId="7A143A54" w14:textId="77777777" w:rsidTr="00D21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pct"/>
          </w:tcPr>
          <w:p w14:paraId="0F5ED0FB" w14:textId="77777777" w:rsidR="003C3262" w:rsidRPr="00D21323" w:rsidRDefault="003C3262" w:rsidP="009D21B3">
            <w:pPr>
              <w:pStyle w:val="NoSpacing"/>
              <w:rPr>
                <w:sz w:val="28"/>
                <w:szCs w:val="28"/>
              </w:rPr>
            </w:pPr>
            <w:r w:rsidRPr="00D21323">
              <w:rPr>
                <w:sz w:val="28"/>
                <w:szCs w:val="28"/>
              </w:rPr>
              <w:t>Las Vegas</w:t>
            </w:r>
          </w:p>
        </w:tc>
        <w:tc>
          <w:tcPr>
            <w:tcW w:w="1593" w:type="pct"/>
          </w:tcPr>
          <w:p w14:paraId="4383DC04"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7-day</w:t>
            </w:r>
          </w:p>
        </w:tc>
        <w:tc>
          <w:tcPr>
            <w:tcW w:w="910" w:type="pct"/>
          </w:tcPr>
          <w:p w14:paraId="349C4D16"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$2,500</w:t>
            </w:r>
          </w:p>
        </w:tc>
        <w:tc>
          <w:tcPr>
            <w:tcW w:w="1430" w:type="pct"/>
          </w:tcPr>
          <w:p w14:paraId="6B461158"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$2,000</w:t>
            </w:r>
          </w:p>
        </w:tc>
      </w:tr>
      <w:tr w:rsidR="003C3262" w:rsidRPr="00D21323" w14:paraId="539F6813" w14:textId="77777777" w:rsidTr="00D21323">
        <w:tc>
          <w:tcPr>
            <w:cnfStyle w:val="001000000000" w:firstRow="0" w:lastRow="0" w:firstColumn="1" w:lastColumn="0" w:oddVBand="0" w:evenVBand="0" w:oddHBand="0" w:evenHBand="0" w:firstRowFirstColumn="0" w:firstRowLastColumn="0" w:lastRowFirstColumn="0" w:lastRowLastColumn="0"/>
            <w:tcW w:w="1066" w:type="pct"/>
          </w:tcPr>
          <w:p w14:paraId="750E8EF1" w14:textId="77777777" w:rsidR="003C3262" w:rsidRPr="00D21323" w:rsidRDefault="003C3262" w:rsidP="009D21B3">
            <w:pPr>
              <w:pStyle w:val="NoSpacing"/>
              <w:rPr>
                <w:sz w:val="28"/>
                <w:szCs w:val="28"/>
              </w:rPr>
            </w:pPr>
            <w:r w:rsidRPr="00D21323">
              <w:rPr>
                <w:sz w:val="28"/>
                <w:szCs w:val="28"/>
              </w:rPr>
              <w:t>Paris</w:t>
            </w:r>
          </w:p>
        </w:tc>
        <w:tc>
          <w:tcPr>
            <w:tcW w:w="1593" w:type="pct"/>
          </w:tcPr>
          <w:p w14:paraId="4A8E9914"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3-day</w:t>
            </w:r>
          </w:p>
        </w:tc>
        <w:tc>
          <w:tcPr>
            <w:tcW w:w="910" w:type="pct"/>
          </w:tcPr>
          <w:p w14:paraId="5B9372E6"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$2,000</w:t>
            </w:r>
          </w:p>
        </w:tc>
        <w:tc>
          <w:tcPr>
            <w:tcW w:w="1430" w:type="pct"/>
          </w:tcPr>
          <w:p w14:paraId="42ABCB34"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 xml:space="preserve">$1,600  </w:t>
            </w:r>
          </w:p>
        </w:tc>
      </w:tr>
      <w:tr w:rsidR="003C3262" w:rsidRPr="00D21323" w14:paraId="006DC5B4" w14:textId="77777777" w:rsidTr="00D213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6" w:type="pct"/>
          </w:tcPr>
          <w:p w14:paraId="2568871B" w14:textId="77777777" w:rsidR="003C3262" w:rsidRPr="00D21323" w:rsidRDefault="003C3262" w:rsidP="009D21B3">
            <w:pPr>
              <w:pStyle w:val="NoSpacing"/>
              <w:rPr>
                <w:sz w:val="28"/>
                <w:szCs w:val="28"/>
              </w:rPr>
            </w:pPr>
            <w:r w:rsidRPr="00D21323">
              <w:rPr>
                <w:sz w:val="28"/>
                <w:szCs w:val="28"/>
              </w:rPr>
              <w:t>Paris</w:t>
            </w:r>
          </w:p>
        </w:tc>
        <w:tc>
          <w:tcPr>
            <w:tcW w:w="1593" w:type="pct"/>
          </w:tcPr>
          <w:p w14:paraId="3613E75C"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5-day</w:t>
            </w:r>
          </w:p>
        </w:tc>
        <w:tc>
          <w:tcPr>
            <w:tcW w:w="910" w:type="pct"/>
          </w:tcPr>
          <w:p w14:paraId="349F7204"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$3,400</w:t>
            </w:r>
          </w:p>
        </w:tc>
        <w:tc>
          <w:tcPr>
            <w:tcW w:w="1430" w:type="pct"/>
          </w:tcPr>
          <w:p w14:paraId="63E5C2C4" w14:textId="77777777" w:rsidR="003C3262" w:rsidRPr="00D21323" w:rsidRDefault="003C3262" w:rsidP="009D21B3">
            <w:pPr>
              <w:pStyle w:val="NoSpacing"/>
              <w:cnfStyle w:val="000000100000" w:firstRow="0" w:lastRow="0" w:firstColumn="0" w:lastColumn="0" w:oddVBand="0" w:evenVBand="0" w:oddHBand="1" w:evenHBand="0" w:firstRowFirstColumn="0" w:firstRowLastColumn="0" w:lastRowFirstColumn="0" w:lastRowLastColumn="0"/>
              <w:rPr>
                <w:sz w:val="28"/>
                <w:szCs w:val="28"/>
              </w:rPr>
            </w:pPr>
            <w:r w:rsidRPr="00D21323">
              <w:rPr>
                <w:sz w:val="28"/>
                <w:szCs w:val="28"/>
              </w:rPr>
              <w:t>$3,000</w:t>
            </w:r>
          </w:p>
        </w:tc>
      </w:tr>
      <w:tr w:rsidR="003C3262" w:rsidRPr="00D21323" w14:paraId="5991CC0B" w14:textId="77777777" w:rsidTr="00D21323">
        <w:tc>
          <w:tcPr>
            <w:cnfStyle w:val="001000000000" w:firstRow="0" w:lastRow="0" w:firstColumn="1" w:lastColumn="0" w:oddVBand="0" w:evenVBand="0" w:oddHBand="0" w:evenHBand="0" w:firstRowFirstColumn="0" w:firstRowLastColumn="0" w:lastRowFirstColumn="0" w:lastRowLastColumn="0"/>
            <w:tcW w:w="1066" w:type="pct"/>
          </w:tcPr>
          <w:p w14:paraId="0E463E78" w14:textId="77777777" w:rsidR="003C3262" w:rsidRPr="00D21323" w:rsidRDefault="003C3262" w:rsidP="009D21B3">
            <w:pPr>
              <w:pStyle w:val="NoSpacing"/>
              <w:rPr>
                <w:sz w:val="28"/>
                <w:szCs w:val="28"/>
              </w:rPr>
            </w:pPr>
            <w:r w:rsidRPr="00D21323">
              <w:rPr>
                <w:sz w:val="28"/>
                <w:szCs w:val="28"/>
              </w:rPr>
              <w:t>Paris</w:t>
            </w:r>
          </w:p>
        </w:tc>
        <w:tc>
          <w:tcPr>
            <w:tcW w:w="1593" w:type="pct"/>
          </w:tcPr>
          <w:p w14:paraId="37D73E4A"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7-day</w:t>
            </w:r>
          </w:p>
        </w:tc>
        <w:tc>
          <w:tcPr>
            <w:tcW w:w="910" w:type="pct"/>
          </w:tcPr>
          <w:p w14:paraId="577D60CE"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$5,000</w:t>
            </w:r>
          </w:p>
        </w:tc>
        <w:tc>
          <w:tcPr>
            <w:tcW w:w="1430" w:type="pct"/>
          </w:tcPr>
          <w:p w14:paraId="7FF79EBE" w14:textId="77777777" w:rsidR="003C3262" w:rsidRPr="00D21323" w:rsidRDefault="003C3262" w:rsidP="009D21B3">
            <w:pPr>
              <w:pStyle w:val="NoSpacing"/>
              <w:cnfStyle w:val="000000000000" w:firstRow="0" w:lastRow="0" w:firstColumn="0" w:lastColumn="0" w:oddVBand="0" w:evenVBand="0" w:oddHBand="0" w:evenHBand="0" w:firstRowFirstColumn="0" w:firstRowLastColumn="0" w:lastRowFirstColumn="0" w:lastRowLastColumn="0"/>
              <w:rPr>
                <w:sz w:val="28"/>
                <w:szCs w:val="28"/>
              </w:rPr>
            </w:pPr>
            <w:r w:rsidRPr="00D21323">
              <w:rPr>
                <w:sz w:val="28"/>
                <w:szCs w:val="28"/>
              </w:rPr>
              <w:t>$4,500</w:t>
            </w:r>
          </w:p>
        </w:tc>
      </w:tr>
    </w:tbl>
    <w:p w14:paraId="05234346" w14:textId="77777777" w:rsidR="00873383" w:rsidRPr="00873383" w:rsidRDefault="00873383" w:rsidP="00D21323">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4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9A"/>
    <w:rsid w:val="00077B05"/>
    <w:rsid w:val="000D4094"/>
    <w:rsid w:val="00164F6D"/>
    <w:rsid w:val="001C7DDB"/>
    <w:rsid w:val="002B628C"/>
    <w:rsid w:val="002E43C9"/>
    <w:rsid w:val="00380602"/>
    <w:rsid w:val="003842C7"/>
    <w:rsid w:val="003C3262"/>
    <w:rsid w:val="003E01B3"/>
    <w:rsid w:val="004126D4"/>
    <w:rsid w:val="004263DE"/>
    <w:rsid w:val="004D46AC"/>
    <w:rsid w:val="004E1894"/>
    <w:rsid w:val="00550341"/>
    <w:rsid w:val="0064739B"/>
    <w:rsid w:val="006B768C"/>
    <w:rsid w:val="006D515D"/>
    <w:rsid w:val="00745794"/>
    <w:rsid w:val="00772B30"/>
    <w:rsid w:val="008628D1"/>
    <w:rsid w:val="008715BB"/>
    <w:rsid w:val="00873383"/>
    <w:rsid w:val="008C68DE"/>
    <w:rsid w:val="009076F7"/>
    <w:rsid w:val="0091362C"/>
    <w:rsid w:val="009769F3"/>
    <w:rsid w:val="009C7B68"/>
    <w:rsid w:val="00A50070"/>
    <w:rsid w:val="00B20643"/>
    <w:rsid w:val="00B5009F"/>
    <w:rsid w:val="00B91F6D"/>
    <w:rsid w:val="00C011B5"/>
    <w:rsid w:val="00C41A6A"/>
    <w:rsid w:val="00C612A7"/>
    <w:rsid w:val="00C82472"/>
    <w:rsid w:val="00C86B0D"/>
    <w:rsid w:val="00CB0901"/>
    <w:rsid w:val="00CB3CE3"/>
    <w:rsid w:val="00D13BA6"/>
    <w:rsid w:val="00D21323"/>
    <w:rsid w:val="00E4219A"/>
    <w:rsid w:val="00E53776"/>
    <w:rsid w:val="00E722DE"/>
    <w:rsid w:val="00EF1D61"/>
    <w:rsid w:val="00EF6D53"/>
    <w:rsid w:val="00FC6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B227B"/>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2018-02-14T18:30:00Z</dcterms:created>
  <dcterms:modified xsi:type="dcterms:W3CDTF">2018-02-14T18:30:00Z</dcterms:modified>
</cp:coreProperties>
</file>