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41C78" w:rsidRDefault="00F33680" w:rsidP="00F33680">
      <w:pPr>
        <w:pStyle w:val="Sinespaciado"/>
        <w:rPr>
          <w:b/>
          <w:sz w:val="24"/>
          <w:szCs w:val="24"/>
          <w:lang w:val="es-MX"/>
        </w:rPr>
      </w:pPr>
      <w:bookmarkStart w:id="0" w:name="_GoBack"/>
      <w:r w:rsidRPr="00F41C78">
        <w:rPr>
          <w:b/>
          <w:sz w:val="24"/>
          <w:szCs w:val="24"/>
          <w:lang w:val="es-MX"/>
        </w:rPr>
        <w:t>Junta del Consejo de Directores</w:t>
      </w:r>
    </w:p>
    <w:p w:rsidR="00F33680" w:rsidRPr="00F41C78" w:rsidRDefault="000067B0" w:rsidP="00F33680">
      <w:pPr>
        <w:pStyle w:val="Sinespaciado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F41C78" w:rsidRDefault="00F33680" w:rsidP="00E46285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Revisión</w:t>
      </w:r>
      <w:r w:rsidR="00A71DB3" w:rsidRPr="00F41C78">
        <w:rPr>
          <w:b/>
          <w:sz w:val="24"/>
          <w:szCs w:val="24"/>
          <w:lang w:val="es-MX"/>
        </w:rPr>
        <w:t xml:space="preserve"> del </w:t>
      </w:r>
      <w:r w:rsidRPr="00F41C78">
        <w:rPr>
          <w:b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Excursión Clásica a Las Vegas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</w:p>
    <w:p w:rsidR="00417DCB" w:rsidRPr="00F41C78" w:rsidRDefault="00417DCB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br w:type="page"/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  <w:lang w:val="es-MX"/>
        </w:rPr>
      </w:pPr>
      <w:r w:rsidRPr="00F41C78">
        <w:rPr>
          <w:noProof/>
          <w:sz w:val="24"/>
          <w:szCs w:val="24"/>
          <w:lang w:val="es-MX" w:eastAsia="es-MX"/>
        </w:rPr>
        <w:lastRenderedPageBreak/>
        <w:drawing>
          <wp:anchor distT="0" distB="457200" distL="114300" distR="114300" simplePos="0" relativeHeight="251659264" behindDoc="0" locked="0" layoutInCell="1" allowOverlap="1" wp14:anchorId="48CDA9E0" wp14:editId="14FADC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30568" cy="1828800"/>
            <wp:effectExtent l="0" t="0" r="889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67A" w:rsidRPr="00F41C78">
        <w:rPr>
          <w:b/>
          <w:sz w:val="24"/>
          <w:szCs w:val="24"/>
          <w:lang w:val="es-MX"/>
        </w:rPr>
        <w:t xml:space="preserve"> </w:t>
      </w:r>
      <w:r w:rsidR="00E5567A" w:rsidRPr="00F41C78">
        <w:rPr>
          <w:rFonts w:eastAsiaTheme="minorEastAsia" w:cs="Times New Roman"/>
          <w:b/>
          <w:bCs/>
          <w:sz w:val="24"/>
          <w:szCs w:val="24"/>
          <w:lang w:val="es-MX"/>
        </w:rPr>
        <w:t>Vacaciones de Dos Naciones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Los viajeros que se dirigen al Noroeste Pacífico tienen la oportunidad de conocer dos naciones en una sola visita. Seattle y las ciudades canadienses de Vancouver y Victoria forman un triángulo de destinos que valen la pena visitar. En una semana o menos se pueden visitar las 3 con bastante tiempo para las vistas turísticas, comidas, entretenimiento y recreación al aire libre. Y, las rutas que conectan las 3 ciudades son viajes con vistas agradables.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Vancouver, 140 millas al norte de Seattle, por la costa del Pacífico, es una ciudad con estilo de vida envidiable, con un puerto reluciente y vecindarios étnicos vibrantes. Vancouver tiene museos de clase mundial y uno de los mejores acuarios de Norteamérica.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Victoria, con acento británico y asentada en la Isla Vancouver. Llegando a ella con un simple viaje en bote desde Vancouver o Seattle, tiene una abundancia en sitios históricos y los mundialmente famosos Jardines Butchart. Los adultos disfrutarán de los bares y meriendas de Victoria y los niños disfrutarán de Mundo Miniatura y los mamíferos marinos en los Jardines Bajo el Mar.</w:t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</w:rPr>
      </w:pPr>
      <w:r w:rsidRPr="00F41C78">
        <w:rPr>
          <w:rFonts w:eastAsiaTheme="minorEastAsia" w:cs="Times New Roman"/>
          <w:b/>
          <w:bCs/>
          <w:sz w:val="24"/>
          <w:szCs w:val="24"/>
        </w:rPr>
        <w:t>E</w:t>
      </w:r>
      <w:r w:rsidR="00E5567A" w:rsidRPr="00F41C78">
        <w:rPr>
          <w:rFonts w:eastAsiaTheme="minorEastAsia" w:cs="Times New Roman"/>
          <w:b/>
          <w:bCs/>
          <w:sz w:val="24"/>
          <w:szCs w:val="24"/>
        </w:rPr>
        <w:t>uropa por</w:t>
      </w:r>
      <w:r w:rsidRPr="00F41C78">
        <w:rPr>
          <w:rFonts w:eastAsiaTheme="minorEastAsia" w:cs="Times New Roman"/>
          <w:b/>
          <w:bCs/>
          <w:sz w:val="24"/>
          <w:szCs w:val="24"/>
        </w:rPr>
        <w:t xml:space="preserve"> Eurail</w:t>
      </w:r>
    </w:p>
    <w:p w:rsidR="00417DCB" w:rsidRPr="00F41C78" w:rsidRDefault="00E5567A" w:rsidP="00417DCB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sistema de trenes europeo es por muchos considerados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como el mejor de la Tierra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Los trenes europeos se conocen por ser rápidos, confiables, económicos y placenteros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</w:t>
      </w:r>
    </w:p>
    <w:p w:rsidR="00417DCB" w:rsidRPr="00F41C78" w:rsidRDefault="00E5567A" w:rsidP="00417DCB">
      <w:pPr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tren es el método preferido de viaje de los europeos al viajar por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Lamentablemente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, </w:t>
      </w:r>
      <w:r w:rsidRPr="00F41C78">
        <w:rPr>
          <w:rFonts w:eastAsiaTheme="minorEastAsia" w:cs="Times New Roman"/>
          <w:sz w:val="24"/>
          <w:szCs w:val="24"/>
          <w:lang w:val="es-MX"/>
        </w:rPr>
        <w:t>los americanos olvidan frecuentemente la opción del tren para sus viajes dentro de Europa, quizás porque la mayoría de los americanos nunca se han subido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a un tren de pasajeros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Para los americanos, viajar por tierra normalmente significa conducir un coche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Mientras que viajar por tren está considerado como una opción pobre de viaje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 en América, viajar por tren palidece en comparación a viajar por tren en Europa en casi cada aspecto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Intenta este método de viaje para tus siguientes vacaciones en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(Ver el diagrama de la página 2 para países populares eurail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.)</w:t>
      </w:r>
    </w:p>
    <w:p w:rsidR="00F44A6C" w:rsidRPr="00F41C78" w:rsidRDefault="00417DCB" w:rsidP="006819FE">
      <w:pPr>
        <w:keepLines/>
        <w:widowControl w:val="0"/>
        <w:rPr>
          <w:rFonts w:eastAsiaTheme="minorEastAsia" w:cs="Times New Roman"/>
          <w:b/>
          <w:sz w:val="24"/>
          <w:szCs w:val="24"/>
        </w:rPr>
      </w:pPr>
      <w:r w:rsidRPr="00F41C78">
        <w:rPr>
          <w:rFonts w:eastAsiaTheme="minorEastAsia" w:cs="Times New Roman"/>
          <w:b/>
          <w:sz w:val="24"/>
          <w:szCs w:val="24"/>
        </w:rPr>
        <w:t>Viva Las Vegas</w:t>
      </w:r>
    </w:p>
    <w:p w:rsidR="00417DCB" w:rsidRPr="00F41C78" w:rsidRDefault="00FE43D9" w:rsidP="006819FE">
      <w:pPr>
        <w:widowControl w:val="0"/>
        <w:rPr>
          <w:rFonts w:eastAsiaTheme="minorEastAsia" w:cs="Times New Roman"/>
          <w:b/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Las mayores atracciones en Las Vegas son los casinos y hoteles</w:t>
      </w:r>
      <w:r w:rsidR="00417DCB" w:rsidRPr="00F41C78">
        <w:rPr>
          <w:sz w:val="24"/>
          <w:szCs w:val="24"/>
          <w:lang w:val="es-MX"/>
        </w:rPr>
        <w:t xml:space="preserve">. </w:t>
      </w:r>
      <w:r w:rsidRPr="00F41C78">
        <w:rPr>
          <w:sz w:val="24"/>
          <w:szCs w:val="24"/>
          <w:lang w:val="es-MX"/>
        </w:rPr>
        <w:t xml:space="preserve">La mayoría de los </w:t>
      </w:r>
      <w:r w:rsidR="00AA70B1" w:rsidRPr="00F41C78">
        <w:rPr>
          <w:sz w:val="24"/>
          <w:szCs w:val="24"/>
          <w:lang w:val="es-MX"/>
        </w:rPr>
        <w:t>hoteles</w:t>
      </w:r>
      <w:r w:rsidRPr="00F41C78">
        <w:rPr>
          <w:sz w:val="24"/>
          <w:szCs w:val="24"/>
          <w:lang w:val="es-MX"/>
        </w:rPr>
        <w:t xml:space="preserve"> casinos</w:t>
      </w:r>
      <w:r w:rsidR="00AA70B1" w:rsidRPr="00F41C78">
        <w:rPr>
          <w:sz w:val="24"/>
          <w:szCs w:val="24"/>
          <w:lang w:val="es-MX"/>
        </w:rPr>
        <w:t xml:space="preserve"> están en el área del centro de la ciudad, que ha sido el punto focal de la industria del juego de la ciudad desde </w:t>
      </w:r>
      <w:r w:rsidR="00AA70B1" w:rsidRPr="00F41C78">
        <w:rPr>
          <w:sz w:val="24"/>
          <w:szCs w:val="24"/>
          <w:lang w:val="es-MX"/>
        </w:rPr>
        <w:lastRenderedPageBreak/>
        <w:t>sus primeros días</w:t>
      </w:r>
      <w:r w:rsidR="00417DCB" w:rsidRPr="00F41C78">
        <w:rPr>
          <w:sz w:val="24"/>
          <w:szCs w:val="24"/>
          <w:lang w:val="es-MX"/>
        </w:rPr>
        <w:t>.</w:t>
      </w:r>
      <w:r w:rsidR="006819FE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mayoría de los casinos están en el centro, en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siendo la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Estratosfera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 excepción</w:t>
      </w:r>
      <w:r w:rsidR="00417DCB" w:rsidRPr="00F41C78">
        <w:rPr>
          <w:sz w:val="24"/>
          <w:szCs w:val="24"/>
          <w:lang w:val="es-MX"/>
        </w:rPr>
        <w:t>. Fremont</w:t>
      </w:r>
      <w:r w:rsidR="00AA70B1" w:rsidRPr="00F41C78">
        <w:rPr>
          <w:sz w:val="24"/>
          <w:szCs w:val="24"/>
          <w:lang w:val="es-MX"/>
        </w:rPr>
        <w:t xml:space="preserve"> Este, adyacente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a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le fueron dadas varianzas para permitir que los bares estuvieran más juntos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similar al Cuarto Gaslamp de San Diego, siendo el objetivo atraer gente diferente que la Franja</w:t>
      </w:r>
      <w:r w:rsidR="00417DCB" w:rsidRPr="00F41C78">
        <w:rPr>
          <w:sz w:val="24"/>
          <w:szCs w:val="24"/>
          <w:lang w:val="es-MX"/>
        </w:rPr>
        <w:t>.</w:t>
      </w:r>
    </w:p>
    <w:p w:rsidR="00202EEB" w:rsidRPr="00F41C78" w:rsidRDefault="00AA70B1" w:rsidP="00F44A6C">
      <w:pPr>
        <w:keepLines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 industria del entretenimiento y juego e</w:t>
      </w:r>
      <w:r w:rsidR="00417DCB" w:rsidRPr="00F41C78">
        <w:rPr>
          <w:sz w:val="24"/>
          <w:szCs w:val="24"/>
          <w:lang w:val="es-MX"/>
        </w:rPr>
        <w:t>n</w:t>
      </w:r>
      <w:r w:rsidRPr="00F41C78">
        <w:rPr>
          <w:sz w:val="24"/>
          <w:szCs w:val="24"/>
          <w:lang w:val="es-MX"/>
        </w:rPr>
        <w:t xml:space="preserve"> Las Vegas se concentra mayormente en la Franja de </w:t>
      </w:r>
      <w:r w:rsidR="00417DCB" w:rsidRPr="00F41C78">
        <w:rPr>
          <w:sz w:val="24"/>
          <w:szCs w:val="24"/>
          <w:lang w:val="es-MX"/>
        </w:rPr>
        <w:t xml:space="preserve">Las Vegas. </w:t>
      </w:r>
      <w:r w:rsidR="0027766A" w:rsidRPr="00F41C78">
        <w:rPr>
          <w:sz w:val="24"/>
          <w:szCs w:val="24"/>
          <w:lang w:val="es-MX"/>
        </w:rPr>
        <w:t>La Franja no se encuentra en los límites de la ciudad</w:t>
      </w:r>
      <w:r w:rsidR="00417DCB" w:rsidRPr="00F41C78">
        <w:rPr>
          <w:sz w:val="24"/>
          <w:szCs w:val="24"/>
          <w:lang w:val="es-MX"/>
        </w:rPr>
        <w:t xml:space="preserve">, </w:t>
      </w:r>
      <w:r w:rsidR="0027766A" w:rsidRPr="00F41C78">
        <w:rPr>
          <w:sz w:val="24"/>
          <w:szCs w:val="24"/>
          <w:lang w:val="es-MX"/>
        </w:rPr>
        <w:t>sino en las comunidades no incorporadas de alrededor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Paradise y Winchester</w:t>
      </w:r>
      <w:r w:rsidR="00417DCB" w:rsidRPr="00F41C78">
        <w:rPr>
          <w:sz w:val="24"/>
          <w:szCs w:val="24"/>
          <w:lang w:val="es-MX"/>
        </w:rPr>
        <w:t xml:space="preserve">. </w:t>
      </w:r>
      <w:r w:rsidR="0027766A" w:rsidRPr="00F41C78">
        <w:rPr>
          <w:sz w:val="24"/>
          <w:szCs w:val="24"/>
          <w:lang w:val="es-MX"/>
        </w:rPr>
        <w:t>Los casinos y edificios más grandes y reconocidos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se encuentran ahí</w:t>
      </w:r>
      <w:r w:rsidR="00417DCB" w:rsidRPr="00F41C78">
        <w:rPr>
          <w:sz w:val="24"/>
          <w:szCs w:val="24"/>
          <w:lang w:val="es-MX"/>
        </w:rPr>
        <w:t>.</w:t>
      </w:r>
      <w:bookmarkEnd w:id="0"/>
    </w:p>
    <w:sectPr w:rsidR="00202EEB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761AE2"/>
    <w:rsid w:val="009006FF"/>
    <w:rsid w:val="00A71DB3"/>
    <w:rsid w:val="00A86AF5"/>
    <w:rsid w:val="00AA70B1"/>
    <w:rsid w:val="00B95BA6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9B082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f\Home\Dropbox%20(CustomGuide)\@Critical\CustomGuide\Excel%202013\Practice\Survey5-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Destinos</a:t>
            </a:r>
            <a:r>
              <a:rPr lang="en-US" baseline="0"/>
              <a:t> Populares para Vacacionar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SurveyResults!$C$4</c:f>
              <c:strCache>
                <c:ptCount val="1"/>
                <c:pt idx="0">
                  <c:v>Leisure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SurveyResults!$C$5:$C$9</c:f>
              <c:numCache>
                <c:formatCode>General</c:formatCode>
                <c:ptCount val="5"/>
                <c:pt idx="0">
                  <c:v>40</c:v>
                </c:pt>
                <c:pt idx="1">
                  <c:v>58</c:v>
                </c:pt>
                <c:pt idx="2">
                  <c:v>150</c:v>
                </c:pt>
                <c:pt idx="3">
                  <c:v>32</c:v>
                </c:pt>
                <c:pt idx="4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94-4026-8CB6-750AEC8F7750}"/>
            </c:ext>
          </c:extLst>
        </c:ser>
        <c:ser>
          <c:idx val="1"/>
          <c:order val="1"/>
          <c:tx>
            <c:strRef>
              <c:f>SurveyResults!$B$4</c:f>
              <c:strCache>
                <c:ptCount val="1"/>
                <c:pt idx="0">
                  <c:v>Business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SurveyResults!$B$5:$B$9</c:f>
              <c:numCache>
                <c:formatCode>General</c:formatCode>
                <c:ptCount val="5"/>
                <c:pt idx="0">
                  <c:v>35</c:v>
                </c:pt>
                <c:pt idx="1">
                  <c:v>134</c:v>
                </c:pt>
                <c:pt idx="2">
                  <c:v>97</c:v>
                </c:pt>
                <c:pt idx="3">
                  <c:v>48</c:v>
                </c:pt>
                <c:pt idx="4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94-4026-8CB6-750AEC8F7750}"/>
            </c:ext>
          </c:extLst>
        </c:ser>
        <c:ser>
          <c:idx val="2"/>
          <c:order val="2"/>
          <c:tx>
            <c:v>Adventure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SurveyResults!$D$5:$D$9</c:f>
              <c:numCache>
                <c:formatCode>General</c:formatCode>
                <c:ptCount val="5"/>
                <c:pt idx="0">
                  <c:v>10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094-4026-8CB6-750AEC8F7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697744"/>
        <c:axId val="599696064"/>
      </c:barChart>
      <c:catAx>
        <c:axId val="5996977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6064"/>
        <c:crosses val="autoZero"/>
        <c:auto val="1"/>
        <c:lblAlgn val="ctr"/>
        <c:lblOffset val="100"/>
        <c:noMultiLvlLbl val="0"/>
      </c:catAx>
      <c:valAx>
        <c:axId val="599696064"/>
        <c:scaling>
          <c:orientation val="minMax"/>
          <c:max val="1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Responses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419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7744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419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7E550-B247-40EC-8B64-9DD07576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3248</Characters>
  <Application>Microsoft Office Word</Application>
  <DocSecurity>0</DocSecurity>
  <Lines>56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2018-09-07T15:27:00Z</dcterms:created>
  <dcterms:modified xsi:type="dcterms:W3CDTF">2018-09-07T15:27:00Z</dcterms:modified>
</cp:coreProperties>
</file>